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EB3447" w:rsidRDefault="00C664B1">
      <w:pPr>
        <w:tabs>
          <w:tab w:val="left" w:pos="-720"/>
        </w:tabs>
        <w:suppressAutoHyphens/>
        <w:spacing w:line="14" w:lineRule="exact"/>
        <w:jc w:val="center"/>
        <w:rPr>
          <w:rFonts w:ascii="Dante MT" w:hAnsi="Dante MT"/>
        </w:rPr>
      </w:pPr>
    </w:p>
    <w:p w:rsidR="00000000" w:rsidRPr="00EB3447" w:rsidRDefault="00C664B1">
      <w:pPr>
        <w:tabs>
          <w:tab w:val="left" w:pos="-720"/>
        </w:tabs>
        <w:suppressAutoHyphens/>
        <w:jc w:val="center"/>
        <w:rPr>
          <w:rFonts w:ascii="Dante MT" w:hAnsi="Dante MT"/>
        </w:rPr>
      </w:pPr>
    </w:p>
    <w:p w:rsidR="00000000" w:rsidRPr="00EB3447" w:rsidRDefault="00C664B1">
      <w:pPr>
        <w:tabs>
          <w:tab w:val="left" w:pos="-720"/>
        </w:tabs>
        <w:suppressAutoHyphens/>
        <w:jc w:val="center"/>
        <w:rPr>
          <w:rFonts w:ascii="Dante MT" w:hAnsi="Dante MT"/>
          <w:sz w:val="3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118"/>
      </w:tblGrid>
      <w:tr w:rsidR="00000000" w:rsidRPr="00EB3447" w:rsidTr="002E45D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18" w:type="dxa"/>
            <w:tcBorders>
              <w:top w:val="single" w:sz="6" w:space="0" w:color="C0C0C0"/>
              <w:left w:val="nil"/>
              <w:bottom w:val="double" w:sz="6" w:space="0" w:color="4F6228" w:themeColor="accent3" w:themeShade="80"/>
              <w:right w:val="nil"/>
            </w:tcBorders>
          </w:tcPr>
          <w:p w:rsidR="00000000" w:rsidRPr="00EB3447" w:rsidRDefault="00C664B1">
            <w:pPr>
              <w:tabs>
                <w:tab w:val="left" w:pos="-720"/>
              </w:tabs>
              <w:suppressAutoHyphens/>
              <w:jc w:val="center"/>
              <w:rPr>
                <w:rFonts w:ascii="Dante MT" w:hAnsi="Dante MT"/>
                <w:sz w:val="40"/>
              </w:rPr>
            </w:pPr>
            <w:bookmarkStart w:id="0" w:name="_GoBack" w:colFirst="0" w:colLast="0"/>
            <w:r w:rsidRPr="00EB3447">
              <w:rPr>
                <w:rFonts w:ascii="Dante MT" w:hAnsi="Dante MT"/>
                <w:sz w:val="40"/>
              </w:rPr>
              <w:t>James Joyce</w:t>
            </w:r>
          </w:p>
        </w:tc>
      </w:tr>
      <w:tr w:rsidR="002E45D9" w:rsidRPr="00EB3447" w:rsidTr="002E45D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18" w:type="dxa"/>
            <w:tcBorders>
              <w:top w:val="double" w:sz="6" w:space="0" w:color="4F6228" w:themeColor="accent3" w:themeShade="80"/>
              <w:left w:val="nil"/>
              <w:bottom w:val="double" w:sz="6" w:space="0" w:color="76923C" w:themeColor="accent3" w:themeShade="BF"/>
              <w:right w:val="nil"/>
            </w:tcBorders>
          </w:tcPr>
          <w:p w:rsidR="00000000" w:rsidRPr="00EB3447" w:rsidRDefault="00C664B1">
            <w:pPr>
              <w:tabs>
                <w:tab w:val="left" w:pos="-720"/>
              </w:tabs>
              <w:suppressAutoHyphens/>
              <w:jc w:val="center"/>
              <w:rPr>
                <w:rFonts w:ascii="Dante MT" w:hAnsi="Dante MT"/>
                <w:color w:val="003300"/>
                <w:sz w:val="48"/>
              </w:rPr>
            </w:pPr>
            <w:r w:rsidRPr="00EB3447">
              <w:rPr>
                <w:rFonts w:ascii="Dante MT" w:hAnsi="Dante MT"/>
                <w:color w:val="003300"/>
                <w:sz w:val="48"/>
              </w:rPr>
              <w:t>A Portrait of the Artist as a Young Man</w:t>
            </w:r>
          </w:p>
        </w:tc>
      </w:tr>
      <w:tr w:rsidR="00000000" w:rsidRPr="00EB3447" w:rsidTr="002E45D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18" w:type="dxa"/>
            <w:tcBorders>
              <w:top w:val="double" w:sz="6" w:space="0" w:color="76923C" w:themeColor="accent3" w:themeShade="BF"/>
              <w:left w:val="nil"/>
              <w:bottom w:val="single" w:sz="6" w:space="0" w:color="C0C0C0"/>
              <w:right w:val="nil"/>
            </w:tcBorders>
          </w:tcPr>
          <w:p w:rsidR="00000000" w:rsidRPr="00EB3447" w:rsidRDefault="00C664B1">
            <w:pPr>
              <w:tabs>
                <w:tab w:val="left" w:pos="-720"/>
              </w:tabs>
              <w:suppressAutoHyphens/>
              <w:jc w:val="center"/>
              <w:rPr>
                <w:rFonts w:ascii="Dante MT" w:hAnsi="Dante MT"/>
                <w:color w:val="003300"/>
                <w:sz w:val="36"/>
              </w:rPr>
            </w:pPr>
            <w:r w:rsidRPr="00EB3447">
              <w:rPr>
                <w:rFonts w:ascii="Dante MT" w:hAnsi="Dante MT"/>
                <w:color w:val="003300"/>
                <w:sz w:val="36"/>
              </w:rPr>
              <w:t>Some things to pay attention to</w:t>
            </w:r>
          </w:p>
        </w:tc>
      </w:tr>
      <w:tr w:rsidR="00000000" w:rsidRPr="00EB344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18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:rsidR="00000000" w:rsidRPr="00EB3447" w:rsidRDefault="00C664B1">
            <w:pPr>
              <w:jc w:val="center"/>
              <w:rPr>
                <w:rFonts w:ascii="Dante MT" w:hAnsi="Dante MT"/>
                <w:sz w:val="28"/>
              </w:rPr>
            </w:pPr>
            <w:r w:rsidRPr="00EB3447">
              <w:rPr>
                <w:rFonts w:ascii="Dante MT" w:hAnsi="Dante MT"/>
                <w:sz w:val="28"/>
              </w:rPr>
              <w:t>Dr. Vincent Cheng</w:t>
            </w:r>
          </w:p>
        </w:tc>
      </w:tr>
      <w:tr w:rsidR="00000000" w:rsidRPr="00EB344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18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:rsidR="00000000" w:rsidRPr="00EB3447" w:rsidRDefault="00C664B1">
            <w:pPr>
              <w:jc w:val="center"/>
              <w:rPr>
                <w:rFonts w:ascii="Dante MT" w:hAnsi="Dante MT"/>
                <w:sz w:val="28"/>
              </w:rPr>
            </w:pPr>
            <w:r w:rsidRPr="00EB3447">
              <w:rPr>
                <w:rFonts w:ascii="Dante MT" w:hAnsi="Dante MT"/>
                <w:sz w:val="28"/>
              </w:rPr>
              <w:t>University of Southern California</w:t>
            </w:r>
          </w:p>
        </w:tc>
      </w:tr>
      <w:bookmarkEnd w:id="0"/>
    </w:tbl>
    <w:p w:rsidR="00000000" w:rsidRPr="00EB3447" w:rsidRDefault="00C664B1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</w:tabs>
        <w:suppressAutoHyphens/>
        <w:rPr>
          <w:rFonts w:ascii="Dante MT" w:hAnsi="Dante MT"/>
        </w:rPr>
      </w:pPr>
    </w:p>
    <w:p w:rsidR="00000000" w:rsidRPr="00EB3447" w:rsidRDefault="00C664B1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</w:tabs>
        <w:suppressAutoHyphens/>
        <w:rPr>
          <w:rFonts w:ascii="Dante MT" w:hAnsi="Dante MT"/>
        </w:rPr>
      </w:pPr>
    </w:p>
    <w:p w:rsidR="00000000" w:rsidRPr="00EB3447" w:rsidRDefault="00C664B1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</w:tabs>
        <w:suppressAutoHyphens/>
        <w:rPr>
          <w:rFonts w:ascii="Dante MT" w:hAnsi="Dante MT"/>
        </w:rPr>
      </w:pPr>
    </w:p>
    <w:p w:rsidR="00000000" w:rsidRPr="00EB3447" w:rsidRDefault="00C664B1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</w:tabs>
        <w:suppressAutoHyphens/>
        <w:rPr>
          <w:rFonts w:ascii="Dante MT" w:hAnsi="Dante MT"/>
          <w:b/>
        </w:rPr>
        <w:sectPr w:rsidR="00000000" w:rsidRPr="00EB3447">
          <w:endnotePr>
            <w:numFmt w:val="decimal"/>
          </w:endnotePr>
          <w:pgSz w:w="12240" w:h="15840"/>
          <w:pgMar w:top="1080" w:right="720" w:bottom="1080" w:left="1080" w:header="1440" w:footer="1440" w:gutter="0"/>
          <w:pgNumType w:start="1"/>
          <w:cols w:space="720"/>
          <w:noEndnote/>
        </w:sectPr>
      </w:pPr>
    </w:p>
    <w:p w:rsidR="00000000" w:rsidRPr="00EB3447" w:rsidRDefault="00C664B1" w:rsidP="002E45D9">
      <w:pPr>
        <w:pStyle w:val="Heading2"/>
        <w:spacing w:before="0"/>
        <w:rPr>
          <w:rFonts w:ascii="Dante MT" w:hAnsi="Dante MT"/>
        </w:rPr>
      </w:pPr>
      <w:r w:rsidRPr="00EB3447">
        <w:rPr>
          <w:rFonts w:ascii="Dante MT" w:hAnsi="Dante MT"/>
        </w:rPr>
        <w:lastRenderedPageBreak/>
        <w:t>Chapter I:  memories of childhood, elementary</w:t>
      </w:r>
      <w:r w:rsidRPr="00EB3447">
        <w:rPr>
          <w:rFonts w:ascii="Dante MT" w:hAnsi="Dante MT"/>
        </w:rPr>
        <w:t xml:space="preserve"> school</w:t>
      </w:r>
    </w:p>
    <w:p w:rsidR="00000000" w:rsidRPr="00EB3447" w:rsidRDefault="00C664B1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</w:tabs>
        <w:suppressAutoHyphens/>
        <w:spacing w:before="60"/>
        <w:rPr>
          <w:rFonts w:ascii="Dante MT" w:hAnsi="Dante MT"/>
        </w:rPr>
      </w:pPr>
      <w:r w:rsidRPr="00EB3447">
        <w:rPr>
          <w:rFonts w:ascii="Dante MT" w:hAnsi="Dante MT"/>
        </w:rPr>
        <w:t>Stephen's growing fascination with words and sounds, and with the correspondence between words, sounds, and objects; his interest in books; the light and dark; his initiation into the adult world of politics; Stephen's sense of injustice</w:t>
      </w:r>
      <w:r w:rsidRPr="00EB3447">
        <w:rPr>
          <w:rFonts w:ascii="Dante MT" w:hAnsi="Dante MT"/>
        </w:rPr>
        <w:noBreakHyphen/>
      </w:r>
      <w:r w:rsidRPr="00EB3447">
        <w:rPr>
          <w:rFonts w:ascii="Dante MT" w:hAnsi="Dante MT"/>
        </w:rPr>
        <w:noBreakHyphen/>
        <w:t>why does Chapter I end with the story of his triumphant talk with the rector?</w:t>
      </w:r>
    </w:p>
    <w:p w:rsidR="00000000" w:rsidRPr="00EB3447" w:rsidRDefault="00C664B1" w:rsidP="002E45D9">
      <w:pPr>
        <w:pStyle w:val="Heading2"/>
        <w:rPr>
          <w:rFonts w:ascii="Dante MT" w:hAnsi="Dante MT"/>
        </w:rPr>
      </w:pPr>
      <w:r w:rsidRPr="00EB3447">
        <w:rPr>
          <w:rFonts w:ascii="Dante MT" w:hAnsi="Dante MT"/>
        </w:rPr>
        <w:t>Chapter II:  adolescence--family moves to escape creditors</w:t>
      </w:r>
    </w:p>
    <w:p w:rsidR="00000000" w:rsidRPr="00EB3447" w:rsidRDefault="00C664B1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</w:tabs>
        <w:suppressAutoHyphens/>
        <w:spacing w:before="60"/>
        <w:rPr>
          <w:rFonts w:ascii="Dante MT" w:hAnsi="Dante MT"/>
        </w:rPr>
      </w:pPr>
      <w:r w:rsidRPr="00EB3447">
        <w:rPr>
          <w:rFonts w:ascii="Dante MT" w:hAnsi="Dante MT"/>
        </w:rPr>
        <w:t>Stephen's growing sense of a) alienation, loneliness, and detachment, and b) the power of silence; his attitudes toward his fath</w:t>
      </w:r>
      <w:r w:rsidRPr="00EB3447">
        <w:rPr>
          <w:rFonts w:ascii="Dante MT" w:hAnsi="Dante MT"/>
        </w:rPr>
        <w:t xml:space="preserve">er; also toward his mother; the search of his romantic imagination for the ideal, transfiguring woman (Eileen, Mercedes from </w:t>
      </w:r>
      <w:r w:rsidRPr="00EB3447">
        <w:rPr>
          <w:rFonts w:ascii="Dante MT" w:hAnsi="Dante MT"/>
          <w:i/>
        </w:rPr>
        <w:t>The Count of Monte Cristo</w:t>
      </w:r>
      <w:r w:rsidRPr="00EB3447">
        <w:rPr>
          <w:rFonts w:ascii="Dante MT" w:hAnsi="Dante MT"/>
        </w:rPr>
        <w:t xml:space="preserve">, </w:t>
      </w:r>
      <w:proofErr w:type="spellStart"/>
      <w:r w:rsidRPr="00EB3447">
        <w:rPr>
          <w:rFonts w:ascii="Dante MT" w:hAnsi="Dante MT"/>
        </w:rPr>
        <w:t>B.V.M</w:t>
      </w:r>
      <w:proofErr w:type="spellEnd"/>
      <w:r w:rsidRPr="00EB3447">
        <w:rPr>
          <w:rFonts w:ascii="Dante MT" w:hAnsi="Dante MT"/>
        </w:rPr>
        <w:t>. = Blessed Virgin Mary, Emma Cleary, etc.).  How does this chapter end?</w:t>
      </w:r>
    </w:p>
    <w:p w:rsidR="00000000" w:rsidRPr="00EB3447" w:rsidRDefault="00C664B1" w:rsidP="002E45D9">
      <w:pPr>
        <w:pStyle w:val="Heading2"/>
        <w:rPr>
          <w:rFonts w:ascii="Dante MT" w:hAnsi="Dante MT"/>
        </w:rPr>
      </w:pPr>
      <w:r w:rsidRPr="00EB3447">
        <w:rPr>
          <w:rFonts w:ascii="Dante MT" w:hAnsi="Dante MT"/>
        </w:rPr>
        <w:t>Chapter III:  wallowing in lust</w:t>
      </w:r>
    </w:p>
    <w:p w:rsidR="00000000" w:rsidRPr="00EB3447" w:rsidRDefault="00C664B1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</w:tabs>
        <w:suppressAutoHyphens/>
        <w:spacing w:before="60"/>
        <w:rPr>
          <w:rFonts w:ascii="Dante MT" w:hAnsi="Dante MT"/>
        </w:rPr>
      </w:pPr>
      <w:r w:rsidRPr="00EB3447">
        <w:rPr>
          <w:rFonts w:ascii="Dante MT" w:hAnsi="Dante MT"/>
        </w:rPr>
        <w:t>Stephen's attitudes toward women and sex: sex vs. the idealized woman, lust vs. beauty, shame and guilt vs. repentance; his interest in technical religious questions; the nature of hell in the sermons; Lucifer's Fall as an act of self</w:t>
      </w:r>
      <w:r w:rsidRPr="00EB3447">
        <w:rPr>
          <w:rFonts w:ascii="Dante MT" w:hAnsi="Dante MT"/>
        </w:rPr>
        <w:noBreakHyphen/>
        <w:t>exile and defia</w:t>
      </w:r>
      <w:r w:rsidRPr="00EB3447">
        <w:rPr>
          <w:rFonts w:ascii="Dante MT" w:hAnsi="Dante MT"/>
        </w:rPr>
        <w:t xml:space="preserve">nce: </w:t>
      </w:r>
      <w:r w:rsidRPr="00EB3447">
        <w:rPr>
          <w:rFonts w:ascii="Dante MT" w:hAnsi="Dante MT"/>
          <w:i/>
        </w:rPr>
        <w:t xml:space="preserve">non </w:t>
      </w:r>
      <w:proofErr w:type="spellStart"/>
      <w:r w:rsidRPr="00EB3447">
        <w:rPr>
          <w:rFonts w:ascii="Dante MT" w:hAnsi="Dante MT"/>
          <w:i/>
        </w:rPr>
        <w:t>serviam</w:t>
      </w:r>
      <w:proofErr w:type="spellEnd"/>
      <w:r w:rsidRPr="00EB3447">
        <w:rPr>
          <w:rFonts w:ascii="Dante MT" w:hAnsi="Dante MT"/>
        </w:rPr>
        <w:t>, ‘I will not serve.’  The chapter ends with repentance and spiritual renewal.</w:t>
      </w:r>
    </w:p>
    <w:p w:rsidR="00000000" w:rsidRPr="00EB3447" w:rsidRDefault="00C664B1" w:rsidP="002E45D9">
      <w:pPr>
        <w:pStyle w:val="Heading2"/>
        <w:rPr>
          <w:rFonts w:ascii="Dante MT" w:hAnsi="Dante MT"/>
        </w:rPr>
      </w:pPr>
      <w:r w:rsidRPr="00EB3447">
        <w:rPr>
          <w:rFonts w:ascii="Dante MT" w:hAnsi="Dante MT"/>
        </w:rPr>
        <w:t>Chapter IV:  tries to choose a vocation--chooses art rather than priesthood</w:t>
      </w:r>
    </w:p>
    <w:p w:rsidR="00000000" w:rsidRPr="00EB3447" w:rsidRDefault="00C664B1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</w:tabs>
        <w:suppressAutoHyphens/>
        <w:spacing w:before="60"/>
        <w:rPr>
          <w:rFonts w:ascii="Dante MT" w:hAnsi="Dante MT"/>
        </w:rPr>
      </w:pPr>
      <w:r w:rsidRPr="00EB3447">
        <w:rPr>
          <w:rFonts w:ascii="Dante MT" w:hAnsi="Dante MT"/>
        </w:rPr>
        <w:t>The power and secret knowledge of priesthood; Stephen's sundering from both father (and the “misrule of his father's house”—Ireland?) and mother; his discovery of his priestly “vocation” as an artist (via the myth of Daedalus, Icarus, and the “fall”); the inspirational revelation of the bird</w:t>
      </w:r>
      <w:r w:rsidRPr="00EB3447">
        <w:rPr>
          <w:rFonts w:ascii="Dante MT" w:hAnsi="Dante MT"/>
        </w:rPr>
        <w:noBreakHyphen/>
        <w:t>like girl on the beach. Chapter IV ends with a d</w:t>
      </w:r>
      <w:r w:rsidRPr="00EB3447">
        <w:rPr>
          <w:rFonts w:ascii="Dante MT" w:hAnsi="Dante MT"/>
        </w:rPr>
        <w:t>iscovery of vocation and purpose.</w:t>
      </w:r>
    </w:p>
    <w:p w:rsidR="00000000" w:rsidRPr="00EB3447" w:rsidRDefault="00C664B1" w:rsidP="002E45D9">
      <w:pPr>
        <w:pStyle w:val="Heading2"/>
        <w:spacing w:before="0"/>
        <w:rPr>
          <w:rFonts w:ascii="Dante MT" w:hAnsi="Dante MT"/>
        </w:rPr>
      </w:pPr>
      <w:r w:rsidRPr="00EB3447">
        <w:rPr>
          <w:rFonts w:ascii="Dante MT" w:hAnsi="Dante MT"/>
        </w:rPr>
        <w:lastRenderedPageBreak/>
        <w:t>Chapter V: at University--conversations about aesthetics-- decides to eave Ireland</w:t>
      </w:r>
    </w:p>
    <w:p w:rsidR="00000000" w:rsidRPr="00EB3447" w:rsidRDefault="00C664B1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</w:tabs>
        <w:suppressAutoHyphens/>
        <w:spacing w:before="60"/>
        <w:rPr>
          <w:rFonts w:ascii="Dante MT" w:hAnsi="Dante MT"/>
        </w:rPr>
      </w:pPr>
      <w:r w:rsidRPr="00EB3447">
        <w:rPr>
          <w:rFonts w:ascii="Dante MT" w:hAnsi="Dante MT"/>
        </w:rPr>
        <w:t>a)  Stephen's aesthetic theory and definitions (from Aristotle and his “applied Aquinas”): art and beauty; pity and terror; rhythm; wholeness, harmony and radiance, and the moment of apprehension of beauty, of inspiration</w:t>
      </w:r>
      <w:r w:rsidRPr="00EB3447">
        <w:rPr>
          <w:rFonts w:ascii="Dante MT" w:hAnsi="Dante MT"/>
        </w:rPr>
        <w:noBreakHyphen/>
      </w:r>
      <w:r w:rsidRPr="00EB3447">
        <w:rPr>
          <w:rFonts w:ascii="Dante MT" w:hAnsi="Dante MT"/>
        </w:rPr>
        <w:noBreakHyphen/>
        <w:t xml:space="preserve">light, </w:t>
      </w:r>
      <w:proofErr w:type="spellStart"/>
      <w:r w:rsidRPr="00EB3447">
        <w:rPr>
          <w:rFonts w:ascii="Dante MT" w:hAnsi="Dante MT"/>
          <w:i/>
        </w:rPr>
        <w:t>claritas</w:t>
      </w:r>
      <w:proofErr w:type="spellEnd"/>
      <w:r w:rsidRPr="00EB3447">
        <w:rPr>
          <w:rFonts w:ascii="Dante MT" w:hAnsi="Dante MT"/>
        </w:rPr>
        <w:t>, epiphany; lyric, epic and dramatic forms; the artist's indifferent and invisible personality, “refined out of existence” from the work.</w:t>
      </w:r>
    </w:p>
    <w:p w:rsidR="00000000" w:rsidRPr="00EB3447" w:rsidRDefault="00C664B1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</w:tabs>
        <w:suppressAutoHyphens/>
        <w:spacing w:before="60"/>
        <w:rPr>
          <w:rFonts w:ascii="Dante MT" w:hAnsi="Dante MT"/>
        </w:rPr>
      </w:pPr>
      <w:r w:rsidRPr="00EB3447">
        <w:rPr>
          <w:rFonts w:ascii="Dante MT" w:hAnsi="Dante MT"/>
        </w:rPr>
        <w:t>b)  Stephen's comba</w:t>
      </w:r>
      <w:r w:rsidRPr="00EB3447">
        <w:rPr>
          <w:rFonts w:ascii="Dante MT" w:hAnsi="Dante MT"/>
        </w:rPr>
        <w:t>t against the “three nets of language, nationality, and religion” through “silence, exile and cunning”; his sense of isolation, his self</w:t>
      </w:r>
      <w:r w:rsidRPr="00EB3447">
        <w:rPr>
          <w:rFonts w:ascii="Dante MT" w:hAnsi="Dante MT"/>
        </w:rPr>
        <w:noBreakHyphen/>
        <w:t>imposed silence; his growing sense of women (mother, Emma, etc.) as treacherous, as symbols of Ireland, the Church, and Irish treachery: “the old sow that eats her farrow.”</w:t>
      </w:r>
    </w:p>
    <w:p w:rsidR="00000000" w:rsidRPr="00EB3447" w:rsidRDefault="00C664B1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</w:tabs>
        <w:suppressAutoHyphens/>
        <w:spacing w:before="60"/>
        <w:rPr>
          <w:rFonts w:ascii="Dante MT" w:hAnsi="Dante MT"/>
        </w:rPr>
      </w:pPr>
      <w:r w:rsidRPr="00EB3447">
        <w:rPr>
          <w:rFonts w:ascii="Dante MT" w:hAnsi="Dante MT"/>
        </w:rPr>
        <w:t>c)  Stephen's exile: his rejection of home, parents, Ireland and Church for art and the “priesthood of eternal imagination”: he is the winged exile (in both senses of “flight”), the “</w:t>
      </w:r>
      <w:proofErr w:type="spellStart"/>
      <w:r w:rsidRPr="00EB3447">
        <w:rPr>
          <w:rFonts w:ascii="Dante MT" w:hAnsi="Dante MT"/>
        </w:rPr>
        <w:t>hawklike</w:t>
      </w:r>
      <w:proofErr w:type="spellEnd"/>
      <w:r w:rsidRPr="00EB3447">
        <w:rPr>
          <w:rFonts w:ascii="Dante MT" w:hAnsi="Dante MT"/>
        </w:rPr>
        <w:t xml:space="preserve"> man:” and </w:t>
      </w:r>
      <w:r w:rsidRPr="00EB3447">
        <w:rPr>
          <w:rFonts w:ascii="Dante MT" w:hAnsi="Dante MT"/>
        </w:rPr>
        <w:t xml:space="preserve">“symbol of </w:t>
      </w:r>
      <w:proofErr w:type="gramStart"/>
      <w:r w:rsidRPr="00EB3447">
        <w:rPr>
          <w:rFonts w:ascii="Dante MT" w:hAnsi="Dante MT"/>
        </w:rPr>
        <w:t>the</w:t>
      </w:r>
      <w:proofErr w:type="gramEnd"/>
      <w:r w:rsidRPr="00EB3447">
        <w:rPr>
          <w:rFonts w:ascii="Dante MT" w:hAnsi="Dante MT"/>
        </w:rPr>
        <w:t xml:space="preserve"> artist” (Daedalus), the apprentice artificer (Icarus), both Icarus and Lucifer (“Brightness falls from the air” in both meanings of “fall”), the winged and defiant angel in Lucifer's </w:t>
      </w:r>
      <w:r w:rsidRPr="00EB3447">
        <w:rPr>
          <w:rFonts w:ascii="Dante MT" w:hAnsi="Dante MT"/>
          <w:i/>
        </w:rPr>
        <w:t xml:space="preserve">non </w:t>
      </w:r>
      <w:proofErr w:type="spellStart"/>
      <w:r w:rsidRPr="00EB3447">
        <w:rPr>
          <w:rFonts w:ascii="Dante MT" w:hAnsi="Dante MT"/>
          <w:i/>
        </w:rPr>
        <w:t>serviam</w:t>
      </w:r>
      <w:proofErr w:type="spellEnd"/>
      <w:r w:rsidRPr="00EB3447">
        <w:rPr>
          <w:rFonts w:ascii="Dante MT" w:hAnsi="Dante MT"/>
        </w:rPr>
        <w:t>.</w:t>
      </w:r>
    </w:p>
    <w:p w:rsidR="00000000" w:rsidRPr="00EB3447" w:rsidRDefault="00C664B1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</w:tabs>
        <w:suppressAutoHyphens/>
        <w:rPr>
          <w:rFonts w:ascii="Dante MT" w:hAnsi="Dante MT"/>
        </w:rPr>
      </w:pPr>
    </w:p>
    <w:p w:rsidR="00000000" w:rsidRPr="00EB3447" w:rsidRDefault="00C664B1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</w:tabs>
        <w:suppressAutoHyphens/>
        <w:rPr>
          <w:rFonts w:ascii="Dante MT" w:hAnsi="Dante MT"/>
        </w:rPr>
      </w:pPr>
    </w:p>
    <w:p w:rsidR="00C664B1" w:rsidRPr="00EB3447" w:rsidRDefault="00C664B1">
      <w:pPr>
        <w:keepLines/>
        <w:pBdr>
          <w:top w:val="double" w:sz="6" w:space="3" w:color="808080"/>
        </w:pBd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</w:tabs>
        <w:suppressAutoHyphens/>
        <w:rPr>
          <w:rFonts w:ascii="Dante MT" w:hAnsi="Dante MT"/>
        </w:rPr>
      </w:pPr>
      <w:r w:rsidRPr="00EB3447">
        <w:rPr>
          <w:rFonts w:ascii="Dante MT" w:hAnsi="Dante MT"/>
        </w:rPr>
        <w:t>Pay special attention, as you read, to the rich and intricate development of the themes and motifs of (1)</w:t>
      </w:r>
      <w:r w:rsidRPr="00EB3447">
        <w:rPr>
          <w:rFonts w:ascii="Courier New" w:hAnsi="Courier New" w:cs="Courier New"/>
        </w:rPr>
        <w:t> </w:t>
      </w:r>
      <w:r w:rsidRPr="00EB3447">
        <w:rPr>
          <w:rFonts w:ascii="Dante MT" w:hAnsi="Dante MT"/>
        </w:rPr>
        <w:t>light and vision, (2)</w:t>
      </w:r>
      <w:r w:rsidRPr="00EB3447">
        <w:rPr>
          <w:rFonts w:ascii="Courier New" w:hAnsi="Courier New" w:cs="Courier New"/>
        </w:rPr>
        <w:t> </w:t>
      </w:r>
      <w:r w:rsidRPr="00EB3447">
        <w:rPr>
          <w:rFonts w:ascii="Dante MT" w:hAnsi="Dante MT"/>
          <w:b/>
        </w:rPr>
        <w:t>birds</w:t>
      </w:r>
      <w:r w:rsidRPr="00EB3447">
        <w:rPr>
          <w:rFonts w:ascii="Dante MT" w:hAnsi="Dante MT"/>
        </w:rPr>
        <w:t xml:space="preserve">, winged creatures, and </w:t>
      </w:r>
      <w:r w:rsidRPr="00EB3447">
        <w:rPr>
          <w:rFonts w:ascii="Dante MT" w:hAnsi="Dante MT"/>
          <w:b/>
        </w:rPr>
        <w:t>flight</w:t>
      </w:r>
      <w:r w:rsidRPr="00EB3447">
        <w:rPr>
          <w:rFonts w:ascii="Dante MT" w:hAnsi="Dante MT"/>
        </w:rPr>
        <w:t xml:space="preserve"> (3)</w:t>
      </w:r>
      <w:r w:rsidRPr="00EB3447">
        <w:rPr>
          <w:rFonts w:ascii="Courier New" w:hAnsi="Courier New" w:cs="Courier New"/>
        </w:rPr>
        <w:t> </w:t>
      </w:r>
      <w:r w:rsidRPr="00EB3447">
        <w:rPr>
          <w:rFonts w:ascii="Dante MT" w:hAnsi="Dante MT"/>
        </w:rPr>
        <w:t xml:space="preserve">the myth of </w:t>
      </w:r>
      <w:r w:rsidRPr="00EB3447">
        <w:rPr>
          <w:rFonts w:ascii="Dante MT" w:hAnsi="Dante MT"/>
          <w:b/>
        </w:rPr>
        <w:t>Daedalus and Icarus (mythic motif</w:t>
      </w:r>
      <w:r w:rsidRPr="00EB3447">
        <w:rPr>
          <w:rFonts w:ascii="Dante MT" w:hAnsi="Dante MT"/>
        </w:rPr>
        <w:t xml:space="preserve"> of escape from the Labyrinth [the “maze of Dublin”] by the </w:t>
      </w:r>
      <w:r w:rsidRPr="00EB3447">
        <w:rPr>
          <w:rFonts w:ascii="Dante MT" w:hAnsi="Dante MT"/>
          <w:b/>
        </w:rPr>
        <w:t>father</w:t>
      </w:r>
      <w:r w:rsidRPr="00EB3447">
        <w:rPr>
          <w:rFonts w:ascii="Dante MT" w:hAnsi="Dante MT"/>
        </w:rPr>
        <w:t xml:space="preserve"> teaching the </w:t>
      </w:r>
      <w:r w:rsidRPr="00EB3447">
        <w:rPr>
          <w:rFonts w:ascii="Dante MT" w:hAnsi="Dante MT"/>
          <w:b/>
        </w:rPr>
        <w:t>son</w:t>
      </w:r>
      <w:r w:rsidRPr="00EB3447">
        <w:rPr>
          <w:rFonts w:ascii="Dante MT" w:hAnsi="Dante MT"/>
        </w:rPr>
        <w:t xml:space="preserve"> ho</w:t>
      </w:r>
      <w:r w:rsidRPr="00EB3447">
        <w:rPr>
          <w:rFonts w:ascii="Dante MT" w:hAnsi="Dante MT"/>
        </w:rPr>
        <w:t xml:space="preserve">w to fly) </w:t>
      </w:r>
      <w:proofErr w:type="gramStart"/>
      <w:r w:rsidRPr="00EB3447">
        <w:rPr>
          <w:rFonts w:ascii="Dante MT" w:hAnsi="Dante MT"/>
        </w:rPr>
        <w:t>and  (</w:t>
      </w:r>
      <w:proofErr w:type="gramEnd"/>
      <w:r w:rsidRPr="00EB3447">
        <w:rPr>
          <w:rFonts w:ascii="Dante MT" w:hAnsi="Dante MT"/>
        </w:rPr>
        <w:t>4)</w:t>
      </w:r>
      <w:r w:rsidRPr="00EB3447">
        <w:rPr>
          <w:rFonts w:ascii="Courier New" w:hAnsi="Courier New" w:cs="Courier New"/>
        </w:rPr>
        <w:t> </w:t>
      </w:r>
      <w:r w:rsidRPr="00EB3447">
        <w:rPr>
          <w:rFonts w:ascii="Dante MT" w:hAnsi="Dante MT"/>
        </w:rPr>
        <w:t xml:space="preserve">Stephen's attitude toward </w:t>
      </w:r>
      <w:r w:rsidRPr="00EB3447">
        <w:rPr>
          <w:rFonts w:ascii="Dante MT" w:hAnsi="Dante MT"/>
          <w:b/>
        </w:rPr>
        <w:t>women</w:t>
      </w:r>
      <w:r w:rsidRPr="00EB3447">
        <w:rPr>
          <w:rFonts w:ascii="Dante MT" w:hAnsi="Dante MT"/>
        </w:rPr>
        <w:t>.</w:t>
      </w:r>
    </w:p>
    <w:sectPr w:rsidR="00C664B1" w:rsidRPr="00EB3447">
      <w:endnotePr>
        <w:numFmt w:val="decimal"/>
      </w:endnotePr>
      <w:type w:val="continuous"/>
      <w:pgSz w:w="12240" w:h="15840"/>
      <w:pgMar w:top="1080" w:right="720" w:bottom="1080" w:left="1080" w:header="1440" w:footer="1440" w:gutter="0"/>
      <w:pgNumType w:start="1"/>
      <w:cols w:num="2"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4B1" w:rsidRDefault="00C664B1">
      <w:pPr>
        <w:spacing w:line="20" w:lineRule="exact"/>
      </w:pPr>
    </w:p>
  </w:endnote>
  <w:endnote w:type="continuationSeparator" w:id="0">
    <w:p w:rsidR="00C664B1" w:rsidRDefault="00C664B1">
      <w:r>
        <w:t xml:space="preserve"> </w:t>
      </w:r>
    </w:p>
  </w:endnote>
  <w:endnote w:type="continuationNotice" w:id="1">
    <w:p w:rsidR="00C664B1" w:rsidRDefault="00C664B1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Dante MT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4B1" w:rsidRDefault="00C664B1">
      <w:r>
        <w:separator/>
      </w:r>
    </w:p>
  </w:footnote>
  <w:footnote w:type="continuationSeparator" w:id="0">
    <w:p w:rsidR="00C664B1" w:rsidRDefault="00C664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20"/>
  <w:autoHyphenation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5D9"/>
    <w:rsid w:val="002E45D9"/>
    <w:rsid w:val="00C664B1"/>
    <w:rsid w:val="00EB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Dante MT Alt" w:hAnsi="Dante MT Alt"/>
      <w:sz w:val="22"/>
    </w:rPr>
  </w:style>
  <w:style w:type="paragraph" w:styleId="Heading2">
    <w:name w:val="heading 2"/>
    <w:basedOn w:val="Chapter"/>
    <w:next w:val="Normal"/>
    <w:link w:val="Heading2Char"/>
    <w:uiPriority w:val="9"/>
    <w:unhideWhenUsed/>
    <w:qFormat/>
    <w:rsid w:val="002E45D9"/>
    <w:pPr>
      <w:outlineLvl w:val="1"/>
    </w:pPr>
    <w:rPr>
      <w:color w:val="4F6228" w:themeColor="accent3" w:themeShade="8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pPr>
      <w:keepNext/>
      <w:keepLines/>
      <w:pBdr>
        <w:top w:val="single" w:sz="6" w:space="2" w:color="C0C0C0"/>
      </w:pBdr>
      <w:tabs>
        <w:tab w:val="left" w:pos="-1440"/>
        <w:tab w:val="left" w:pos="-720"/>
        <w:tab w:val="left" w:pos="0"/>
        <w:tab w:val="left" w:pos="432"/>
        <w:tab w:val="left" w:pos="864"/>
        <w:tab w:val="left" w:pos="1296"/>
        <w:tab w:val="left" w:pos="1728"/>
        <w:tab w:val="left" w:pos="2160"/>
      </w:tabs>
      <w:suppressAutoHyphens/>
      <w:spacing w:before="240"/>
    </w:pPr>
    <w:rPr>
      <w:b/>
      <w:i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E45D9"/>
    <w:rPr>
      <w:rFonts w:ascii="Dante MT Alt" w:hAnsi="Dante MT Alt"/>
      <w:b/>
      <w:i/>
      <w:color w:val="4F6228" w:themeColor="accent3" w:themeShade="8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Dante MT Alt" w:hAnsi="Dante MT Alt"/>
      <w:sz w:val="22"/>
    </w:rPr>
  </w:style>
  <w:style w:type="paragraph" w:styleId="Heading2">
    <w:name w:val="heading 2"/>
    <w:basedOn w:val="Chapter"/>
    <w:next w:val="Normal"/>
    <w:link w:val="Heading2Char"/>
    <w:uiPriority w:val="9"/>
    <w:unhideWhenUsed/>
    <w:qFormat/>
    <w:rsid w:val="002E45D9"/>
    <w:pPr>
      <w:outlineLvl w:val="1"/>
    </w:pPr>
    <w:rPr>
      <w:color w:val="4F6228" w:themeColor="accent3" w:themeShade="8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pPr>
      <w:keepNext/>
      <w:keepLines/>
      <w:pBdr>
        <w:top w:val="single" w:sz="6" w:space="2" w:color="C0C0C0"/>
      </w:pBdr>
      <w:tabs>
        <w:tab w:val="left" w:pos="-1440"/>
        <w:tab w:val="left" w:pos="-720"/>
        <w:tab w:val="left" w:pos="0"/>
        <w:tab w:val="left" w:pos="432"/>
        <w:tab w:val="left" w:pos="864"/>
        <w:tab w:val="left" w:pos="1296"/>
        <w:tab w:val="left" w:pos="1728"/>
        <w:tab w:val="left" w:pos="2160"/>
      </w:tabs>
      <w:suppressAutoHyphens/>
      <w:spacing w:before="240"/>
    </w:pPr>
    <w:rPr>
      <w:b/>
      <w:i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E45D9"/>
    <w:rPr>
      <w:rFonts w:ascii="Dante MT Alt" w:hAnsi="Dante MT Alt"/>
      <w:b/>
      <w:i/>
      <w:color w:val="4F6228" w:themeColor="accent3" w:themeShade="8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PASADENA HIGH SCHOOL_AP ENGLISH [NICHOLSON]</vt:lpstr>
    </vt:vector>
  </TitlesOfParts>
  <Company>Hewlett-Packard Company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PASADENA HIGH SCHOOL_AP ENGLISH [NICHOLSON]</dc:title>
  <dc:creator>Skip Nicholson</dc:creator>
  <cp:lastModifiedBy>Skip Nicholson</cp:lastModifiedBy>
  <cp:revision>2</cp:revision>
  <cp:lastPrinted>1997-08-23T03:55:00Z</cp:lastPrinted>
  <dcterms:created xsi:type="dcterms:W3CDTF">2012-04-12T05:31:00Z</dcterms:created>
  <dcterms:modified xsi:type="dcterms:W3CDTF">2012-04-12T05:31:00Z</dcterms:modified>
</cp:coreProperties>
</file>